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6D23" w14:textId="77777777" w:rsidR="00733FA3" w:rsidRDefault="00733FA3" w:rsidP="00733FA3">
      <w:pPr>
        <w:pStyle w:val="Antrat"/>
        <w:rPr>
          <w:sz w:val="24"/>
        </w:rPr>
      </w:pPr>
      <w:r w:rsidRPr="005F5EE7">
        <w:rPr>
          <w:color w:val="0000FF"/>
          <w:sz w:val="24"/>
        </w:rPr>
        <w:object w:dxaOrig="4620" w:dyaOrig="5445" w14:anchorId="530FF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0.5pt" o:ole="" fillcolor="window">
            <v:imagedata r:id="rId6" o:title=""/>
          </v:shape>
          <o:OLEObject Type="Embed" ProgID="PBrush" ShapeID="_x0000_i1025" DrawAspect="Content" ObjectID="_1612625611" r:id="rId7"/>
        </w:object>
      </w:r>
    </w:p>
    <w:p w14:paraId="1B48BE25" w14:textId="77777777" w:rsidR="00733FA3" w:rsidRDefault="00733FA3" w:rsidP="00733FA3">
      <w:pPr>
        <w:pStyle w:val="Antrat"/>
        <w:rPr>
          <w:sz w:val="24"/>
        </w:rPr>
      </w:pPr>
    </w:p>
    <w:p w14:paraId="50B35088" w14:textId="77777777" w:rsidR="00733FA3" w:rsidRDefault="00733FA3" w:rsidP="00733FA3">
      <w:pPr>
        <w:pStyle w:val="Antrat"/>
        <w:rPr>
          <w:sz w:val="24"/>
        </w:rPr>
      </w:pPr>
      <w:r>
        <w:rPr>
          <w:sz w:val="24"/>
        </w:rPr>
        <w:t>LIETUVOS RESPUBLIKOS VIDAUS REIKALŲ MINISTERIJA</w:t>
      </w:r>
    </w:p>
    <w:p w14:paraId="0A254900" w14:textId="77777777" w:rsidR="00733FA3" w:rsidRPr="00DC0AE0" w:rsidRDefault="00733FA3" w:rsidP="00733FA3">
      <w:pPr>
        <w:rPr>
          <w:lang w:val="lt-LT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2"/>
      </w:tblGrid>
      <w:tr w:rsidR="00733FA3" w:rsidRPr="00733FA3" w14:paraId="1293D911" w14:textId="77777777" w:rsidTr="000F551C">
        <w:trPr>
          <w:trHeight w:hRule="exact" w:val="698"/>
          <w:jc w:val="center"/>
        </w:trPr>
        <w:tc>
          <w:tcPr>
            <w:tcW w:w="9402" w:type="dxa"/>
          </w:tcPr>
          <w:p w14:paraId="536E4570" w14:textId="77777777" w:rsidR="00E473A3" w:rsidRDefault="00E473A3" w:rsidP="00E473A3">
            <w:pPr>
              <w:pStyle w:val="Antrats"/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Biudžetinė įstaiga,  Šventaragio g. 2,  LT-01510  Vilnius,</w:t>
            </w:r>
          </w:p>
          <w:p w14:paraId="486ABB9E" w14:textId="77777777" w:rsidR="00E473A3" w:rsidRDefault="00E473A3" w:rsidP="00E473A3">
            <w:pPr>
              <w:pStyle w:val="Antrats"/>
              <w:tabs>
                <w:tab w:val="left" w:pos="7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tel.: (8 5)  271 7154 / 271 7178,  faks. (8 5)  271 8551,  el. p</w:t>
            </w:r>
            <w:r w:rsidRPr="00E473A3">
              <w:rPr>
                <w:sz w:val="20"/>
              </w:rPr>
              <w:t xml:space="preserve">. </w:t>
            </w:r>
            <w:hyperlink r:id="rId8" w:history="1">
              <w:r w:rsidRPr="00E473A3">
                <w:rPr>
                  <w:rStyle w:val="Hipersaitas"/>
                  <w:color w:val="auto"/>
                  <w:sz w:val="20"/>
                  <w:u w:val="none"/>
                </w:rPr>
                <w:t>bendrasisd@vrm.lt</w:t>
              </w:r>
            </w:hyperlink>
            <w:r>
              <w:rPr>
                <w:sz w:val="20"/>
              </w:rPr>
              <w:t xml:space="preserve">. </w:t>
            </w:r>
          </w:p>
          <w:p w14:paraId="41AC85BF" w14:textId="77777777" w:rsidR="00733FA3" w:rsidRDefault="00E473A3" w:rsidP="00E473A3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Duomenys kaupiami ir saugomi Juridinių asmenų registre, kodas 188601464</w:t>
            </w:r>
          </w:p>
        </w:tc>
      </w:tr>
    </w:tbl>
    <w:p w14:paraId="4CFB0B23" w14:textId="77777777" w:rsidR="00733FA3" w:rsidRDefault="00733FA3" w:rsidP="00733FA3">
      <w:pPr>
        <w:rPr>
          <w:lang w:val="lt-LT"/>
        </w:rPr>
      </w:pPr>
    </w:p>
    <w:p w14:paraId="55E70CC3" w14:textId="77777777" w:rsidR="00733FA3" w:rsidRDefault="00733FA3" w:rsidP="00733FA3">
      <w:pPr>
        <w:rPr>
          <w:lang w:val="lt-LT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84"/>
        <w:gridCol w:w="253"/>
        <w:gridCol w:w="1560"/>
        <w:gridCol w:w="2439"/>
      </w:tblGrid>
      <w:tr w:rsidR="0062748B" w:rsidRPr="00520CBB" w14:paraId="41FD82ED" w14:textId="77777777" w:rsidTr="0030681E">
        <w:tc>
          <w:tcPr>
            <w:tcW w:w="5211" w:type="dxa"/>
          </w:tcPr>
          <w:p w14:paraId="1BE186E2" w14:textId="77777777" w:rsidR="00B326B6" w:rsidRDefault="00B326B6" w:rsidP="00B326B6">
            <w:pPr>
              <w:pStyle w:val="Antrats"/>
            </w:pPr>
            <w:r>
              <w:t>Lietuvos teisėsaugos pareigūnų federacijai</w:t>
            </w:r>
          </w:p>
          <w:p w14:paraId="3600511D" w14:textId="77777777" w:rsidR="00B326B6" w:rsidRDefault="00B326B6" w:rsidP="00B326B6">
            <w:pPr>
              <w:pStyle w:val="Antrats"/>
            </w:pPr>
          </w:p>
          <w:p w14:paraId="4534842D" w14:textId="77777777" w:rsidR="00B326B6" w:rsidRDefault="00B326B6" w:rsidP="00B326B6">
            <w:pPr>
              <w:pStyle w:val="Antrats"/>
            </w:pPr>
            <w:r>
              <w:t>Kopijos</w:t>
            </w:r>
          </w:p>
          <w:p w14:paraId="0ABF867F" w14:textId="77777777" w:rsidR="00B326B6" w:rsidRPr="0007045D" w:rsidRDefault="00B326B6" w:rsidP="00B326B6">
            <w:pPr>
              <w:pStyle w:val="Antrats"/>
            </w:pPr>
            <w:r w:rsidRPr="0007045D">
              <w:t>Finansinių nusikaltimų tyrimo tarnybai prie VRM,</w:t>
            </w:r>
          </w:p>
          <w:p w14:paraId="709768EF" w14:textId="77777777" w:rsidR="00011F89" w:rsidRPr="0007045D" w:rsidRDefault="00011F89" w:rsidP="00011F89">
            <w:pPr>
              <w:pStyle w:val="Antrats"/>
            </w:pPr>
            <w:r w:rsidRPr="0007045D">
              <w:t>Policijos departamentui prie VRM,</w:t>
            </w:r>
          </w:p>
          <w:p w14:paraId="7BA19EDE" w14:textId="77777777" w:rsidR="00B326B6" w:rsidRPr="0007045D" w:rsidRDefault="00B326B6" w:rsidP="00B326B6">
            <w:pPr>
              <w:pStyle w:val="Antrats"/>
            </w:pPr>
            <w:r w:rsidRPr="0007045D">
              <w:t>Priešgaisrinės apsaugos ir gelbėjimo departamentui prie VRM,</w:t>
            </w:r>
          </w:p>
          <w:p w14:paraId="0258A935" w14:textId="77777777" w:rsidR="00011F89" w:rsidRPr="0007045D" w:rsidRDefault="00011F89" w:rsidP="00011F89">
            <w:pPr>
              <w:pStyle w:val="Antrats"/>
            </w:pPr>
            <w:r w:rsidRPr="0007045D">
              <w:t>Vadovybės apsaugos departamentui prie VRM</w:t>
            </w:r>
            <w:r>
              <w:t>,</w:t>
            </w:r>
          </w:p>
          <w:p w14:paraId="1E6001CA" w14:textId="77777777" w:rsidR="00B326B6" w:rsidRPr="0007045D" w:rsidRDefault="00B326B6" w:rsidP="00B326B6">
            <w:pPr>
              <w:pStyle w:val="Antrats"/>
            </w:pPr>
            <w:r w:rsidRPr="0007045D">
              <w:t>Valstybės sienos apsaugos tarnybai prie VRM,</w:t>
            </w:r>
          </w:p>
          <w:p w14:paraId="64316A50" w14:textId="77777777" w:rsidR="00B326B6" w:rsidRPr="0007045D" w:rsidRDefault="00B326B6" w:rsidP="00B326B6">
            <w:pPr>
              <w:pStyle w:val="Antrats"/>
            </w:pPr>
            <w:r w:rsidRPr="0007045D">
              <w:t>Viešojo saugumo tarnybai prie VRM</w:t>
            </w:r>
          </w:p>
          <w:p w14:paraId="56C87E4A" w14:textId="77777777" w:rsidR="00B326B6" w:rsidRDefault="00B326B6" w:rsidP="00B326B6">
            <w:pPr>
              <w:pStyle w:val="Antrats"/>
              <w:tabs>
                <w:tab w:val="clear" w:pos="4153"/>
                <w:tab w:val="clear" w:pos="8306"/>
              </w:tabs>
            </w:pPr>
          </w:p>
          <w:p w14:paraId="64A1C70E" w14:textId="77777777" w:rsidR="00AF2310" w:rsidRDefault="00AF2310" w:rsidP="000F551C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284" w:type="dxa"/>
          </w:tcPr>
          <w:p w14:paraId="2D5E4CB0" w14:textId="77777777" w:rsidR="0062748B" w:rsidRDefault="0062748B" w:rsidP="000F551C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253" w:type="dxa"/>
          </w:tcPr>
          <w:p w14:paraId="15B0C54C" w14:textId="77777777" w:rsidR="0062748B" w:rsidRDefault="0062748B" w:rsidP="000F551C">
            <w:pPr>
              <w:pStyle w:val="Antrats"/>
              <w:tabs>
                <w:tab w:val="clear" w:pos="4153"/>
                <w:tab w:val="clear" w:pos="8306"/>
              </w:tabs>
              <w:jc w:val="right"/>
            </w:pPr>
          </w:p>
          <w:p w14:paraId="398DA16B" w14:textId="77777777" w:rsidR="003664B4" w:rsidRDefault="003664B4" w:rsidP="000F551C">
            <w:pPr>
              <w:pStyle w:val="Antrats"/>
              <w:tabs>
                <w:tab w:val="clear" w:pos="4153"/>
                <w:tab w:val="clear" w:pos="8306"/>
              </w:tabs>
              <w:jc w:val="right"/>
            </w:pPr>
          </w:p>
          <w:p w14:paraId="0976512D" w14:textId="77777777" w:rsidR="0062748B" w:rsidRDefault="0062748B" w:rsidP="000F551C">
            <w:pPr>
              <w:pStyle w:val="Antrats"/>
              <w:tabs>
                <w:tab w:val="clear" w:pos="4153"/>
                <w:tab w:val="clear" w:pos="8306"/>
              </w:tabs>
              <w:jc w:val="right"/>
            </w:pPr>
          </w:p>
        </w:tc>
        <w:tc>
          <w:tcPr>
            <w:tcW w:w="1560" w:type="dxa"/>
          </w:tcPr>
          <w:p w14:paraId="1B14F3E1" w14:textId="77777777" w:rsidR="0062748B" w:rsidRDefault="00C77E41" w:rsidP="000F551C">
            <w:pPr>
              <w:pStyle w:val="Antrats"/>
              <w:tabs>
                <w:tab w:val="clear" w:pos="4153"/>
                <w:tab w:val="clear" w:pos="8306"/>
              </w:tabs>
            </w:pPr>
            <w:r>
              <w:t>201</w:t>
            </w:r>
            <w:r w:rsidR="006D4B90">
              <w:t>9</w:t>
            </w:r>
            <w:r>
              <w:t>-</w:t>
            </w:r>
            <w:r w:rsidR="00B326B6">
              <w:t>02</w:t>
            </w:r>
            <w:r w:rsidR="0030681E">
              <w:t>-</w:t>
            </w:r>
          </w:p>
          <w:p w14:paraId="0DDCD1FD" w14:textId="77777777" w:rsidR="00B326B6" w:rsidRDefault="00A73DDE" w:rsidP="006D4B90">
            <w:pPr>
              <w:pStyle w:val="Antrats"/>
              <w:tabs>
                <w:tab w:val="clear" w:pos="4153"/>
                <w:tab w:val="clear" w:pos="8306"/>
              </w:tabs>
            </w:pPr>
            <w:r>
              <w:t xml:space="preserve">Į </w:t>
            </w:r>
            <w:r w:rsidR="006D4B90">
              <w:t>2019</w:t>
            </w:r>
            <w:r w:rsidR="007D5F18">
              <w:t>-</w:t>
            </w:r>
            <w:r w:rsidR="00B326B6">
              <w:t>02-13</w:t>
            </w:r>
          </w:p>
        </w:tc>
        <w:tc>
          <w:tcPr>
            <w:tcW w:w="2439" w:type="dxa"/>
          </w:tcPr>
          <w:p w14:paraId="6B7082D1" w14:textId="77777777" w:rsidR="005216AE" w:rsidRDefault="00C77E41" w:rsidP="00742658">
            <w:pPr>
              <w:pStyle w:val="Antrats"/>
              <w:tabs>
                <w:tab w:val="clear" w:pos="4153"/>
                <w:tab w:val="clear" w:pos="8306"/>
              </w:tabs>
            </w:pPr>
            <w:r>
              <w:t xml:space="preserve">Nr. </w:t>
            </w:r>
            <w:r w:rsidR="006D4B90">
              <w:t>1D-               (2</w:t>
            </w:r>
            <w:r w:rsidR="004B58F3">
              <w:t>7)</w:t>
            </w:r>
          </w:p>
          <w:p w14:paraId="565776B3" w14:textId="77777777" w:rsidR="003664B4" w:rsidRDefault="007D5F18" w:rsidP="00742658">
            <w:pPr>
              <w:pStyle w:val="Antrats"/>
              <w:tabs>
                <w:tab w:val="clear" w:pos="4153"/>
                <w:tab w:val="clear" w:pos="8306"/>
              </w:tabs>
            </w:pPr>
            <w:r>
              <w:t>Nr.</w:t>
            </w:r>
            <w:r w:rsidR="00B326B6">
              <w:t xml:space="preserve"> 4-073</w:t>
            </w:r>
          </w:p>
          <w:p w14:paraId="747184B8" w14:textId="77777777" w:rsidR="0062748B" w:rsidRDefault="0062748B" w:rsidP="00742658">
            <w:pPr>
              <w:pStyle w:val="Antrats"/>
              <w:tabs>
                <w:tab w:val="clear" w:pos="4153"/>
                <w:tab w:val="clear" w:pos="8306"/>
              </w:tabs>
            </w:pPr>
          </w:p>
        </w:tc>
      </w:tr>
    </w:tbl>
    <w:p w14:paraId="35949025" w14:textId="77777777" w:rsidR="00733FA3" w:rsidRPr="00EB77EA" w:rsidRDefault="00733FA3" w:rsidP="00E21EF0">
      <w:pPr>
        <w:pStyle w:val="Antrats"/>
        <w:tabs>
          <w:tab w:val="clear" w:pos="4153"/>
          <w:tab w:val="clear" w:pos="8306"/>
        </w:tabs>
        <w:jc w:val="both"/>
        <w:rPr>
          <w:b/>
          <w:caps/>
        </w:rPr>
      </w:pPr>
      <w:r>
        <w:rPr>
          <w:b/>
          <w:caps/>
        </w:rPr>
        <w:t xml:space="preserve">DĖL </w:t>
      </w:r>
      <w:r w:rsidR="00B326B6">
        <w:rPr>
          <w:b/>
          <w:caps/>
        </w:rPr>
        <w:t>ligos išmokos mokėjimo vidaus tarnybos sistemos pareigūnams</w:t>
      </w:r>
    </w:p>
    <w:p w14:paraId="1F6AB150" w14:textId="77777777" w:rsidR="00733FA3" w:rsidRDefault="00733FA3" w:rsidP="00E21EF0">
      <w:pPr>
        <w:pStyle w:val="Antrats"/>
        <w:tabs>
          <w:tab w:val="clear" w:pos="4153"/>
          <w:tab w:val="clear" w:pos="8306"/>
        </w:tabs>
        <w:jc w:val="both"/>
      </w:pPr>
    </w:p>
    <w:p w14:paraId="5B2103AE" w14:textId="77777777" w:rsidR="00BD3186" w:rsidRPr="00A45EE5" w:rsidRDefault="00BD3186" w:rsidP="00AF2310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1C971E34" w14:textId="77777777" w:rsidR="007D5F18" w:rsidRDefault="00374C5C" w:rsidP="00AF2310">
      <w:pPr>
        <w:spacing w:line="276" w:lineRule="auto"/>
        <w:ind w:firstLine="720"/>
        <w:jc w:val="both"/>
        <w:rPr>
          <w:lang w:val="lt-LT"/>
        </w:rPr>
      </w:pPr>
      <w:r w:rsidRPr="00AF2310">
        <w:rPr>
          <w:lang w:val="lt-LT"/>
        </w:rPr>
        <w:t xml:space="preserve">Vidaus reikalų </w:t>
      </w:r>
      <w:r w:rsidR="007E46B1" w:rsidRPr="00AF2310">
        <w:rPr>
          <w:lang w:val="lt-LT"/>
        </w:rPr>
        <w:t>ministerij</w:t>
      </w:r>
      <w:r w:rsidR="00520CBB">
        <w:rPr>
          <w:lang w:val="lt-LT"/>
        </w:rPr>
        <w:t xml:space="preserve">oje </w:t>
      </w:r>
      <w:r w:rsidR="00520CBB" w:rsidRPr="00AF2310">
        <w:rPr>
          <w:lang w:val="lt-LT"/>
        </w:rPr>
        <w:t xml:space="preserve">(toliau – VRM) </w:t>
      </w:r>
      <w:r w:rsidR="00520CBB">
        <w:rPr>
          <w:lang w:val="lt-LT"/>
        </w:rPr>
        <w:t>gautas ir pagal kompetenciją išnagrinėtas Lietuvos</w:t>
      </w:r>
      <w:r w:rsidR="00011F89">
        <w:rPr>
          <w:lang w:val="lt-LT"/>
        </w:rPr>
        <w:t xml:space="preserve"> teisėsaugos pareigūnų federacijos</w:t>
      </w:r>
      <w:r w:rsidR="004E6C88">
        <w:rPr>
          <w:lang w:val="lt-LT"/>
        </w:rPr>
        <w:t xml:space="preserve"> raštas Nr. 4-073</w:t>
      </w:r>
      <w:r w:rsidR="00B2216A">
        <w:rPr>
          <w:lang w:val="lt-LT"/>
        </w:rPr>
        <w:t xml:space="preserve"> (toliau – LTPF raštas)</w:t>
      </w:r>
      <w:r w:rsidR="004E6C88">
        <w:rPr>
          <w:lang w:val="lt-LT"/>
        </w:rPr>
        <w:t xml:space="preserve">, kuriame pateikiama informacija, kad kai kuriose vidaus reikalų ministro valdymo srities </w:t>
      </w:r>
      <w:r w:rsidR="009958D7">
        <w:rPr>
          <w:lang w:val="lt-LT"/>
        </w:rPr>
        <w:t xml:space="preserve">statutinėse </w:t>
      </w:r>
      <w:r w:rsidR="004E6C88">
        <w:rPr>
          <w:lang w:val="lt-LT"/>
        </w:rPr>
        <w:t>įstaigose nesilaikoma Ligos ir motinystės socialinio draudimo išmokų nuostatų, patvirtintų Lietuvos Respublikos Vyriausybės 2001 m. sausio 25 d. nutarimu Nr. 86, 33 punkto, pagal kur</w:t>
      </w:r>
      <w:r w:rsidR="009958D7">
        <w:rPr>
          <w:lang w:val="lt-LT"/>
        </w:rPr>
        <w:t>į</w:t>
      </w:r>
      <w:r w:rsidR="004E6C88">
        <w:rPr>
          <w:lang w:val="lt-LT"/>
        </w:rPr>
        <w:t xml:space="preserve"> </w:t>
      </w:r>
      <w:r w:rsidR="004E6C88" w:rsidRPr="004E6C88">
        <w:rPr>
          <w:i/>
          <w:lang w:val="lt-LT"/>
        </w:rPr>
        <w:t>asmenims, nurodytiems Valstybinio socialinio draudimo įstatymo 4 straipsnio 1–4 dalyse (turintiems darbo ar tarnybos santykius asmenims), tapusiems laikinai nedarbingiems Įstatymo 5 straipsnio 2</w:t>
      </w:r>
      <w:r w:rsidR="009958D7">
        <w:rPr>
          <w:i/>
          <w:lang w:val="lt-LT"/>
        </w:rPr>
        <w:t> </w:t>
      </w:r>
      <w:r w:rsidR="004E6C88" w:rsidRPr="004E6C88">
        <w:rPr>
          <w:i/>
          <w:lang w:val="lt-LT"/>
        </w:rPr>
        <w:t xml:space="preserve">dalies 1, 3 ir 4 punktuose nurodytais atvejais, </w:t>
      </w:r>
      <w:r w:rsidR="004E6C88" w:rsidRPr="004E6C88">
        <w:rPr>
          <w:i/>
          <w:u w:val="single"/>
          <w:lang w:val="lt-LT"/>
        </w:rPr>
        <w:t>ligos išmoką 2 pirmąsias kalendorines nedarbingumo dienas, sutampančias su darbuotojo darbo (tarnybos) grafiku, moka darbdavys</w:t>
      </w:r>
      <w:r w:rsidR="004E6C88" w:rsidRPr="004E6C88">
        <w:rPr>
          <w:i/>
          <w:lang w:val="lt-LT"/>
        </w:rPr>
        <w:t>. Jeigu darbuotojas dirba keliose darbovietėse, už 2 pirmąsias kalendorines nedarbingumo dienas moka kiekvienas darbdavys</w:t>
      </w:r>
      <w:r w:rsidR="004E6C88" w:rsidRPr="004E6C88">
        <w:rPr>
          <w:lang w:val="lt-LT"/>
        </w:rPr>
        <w:t>.</w:t>
      </w:r>
    </w:p>
    <w:p w14:paraId="6C6E6B42" w14:textId="77777777" w:rsidR="007D5F18" w:rsidRDefault="00B2216A" w:rsidP="00AF2310">
      <w:pPr>
        <w:spacing w:line="276" w:lineRule="auto"/>
        <w:ind w:firstLine="720"/>
        <w:jc w:val="both"/>
        <w:rPr>
          <w:lang w:val="lt-LT"/>
        </w:rPr>
      </w:pPr>
      <w:r>
        <w:rPr>
          <w:lang w:val="lt-LT"/>
        </w:rPr>
        <w:t>LTPF rašte nurodyta, kad minėt</w:t>
      </w:r>
      <w:r w:rsidR="00173280">
        <w:rPr>
          <w:lang w:val="lt-LT"/>
        </w:rPr>
        <w:t>os</w:t>
      </w:r>
      <w:r>
        <w:rPr>
          <w:lang w:val="lt-LT"/>
        </w:rPr>
        <w:t xml:space="preserve"> nuostat</w:t>
      </w:r>
      <w:r w:rsidR="00173280">
        <w:rPr>
          <w:lang w:val="lt-LT"/>
        </w:rPr>
        <w:t>os</w:t>
      </w:r>
      <w:r>
        <w:rPr>
          <w:lang w:val="lt-LT"/>
        </w:rPr>
        <w:t xml:space="preserve"> ne</w:t>
      </w:r>
      <w:r w:rsidR="00D32AD2">
        <w:rPr>
          <w:lang w:val="lt-LT"/>
        </w:rPr>
        <w:t>vykd</w:t>
      </w:r>
      <w:r w:rsidR="00173280">
        <w:rPr>
          <w:lang w:val="lt-LT"/>
        </w:rPr>
        <w:t>ymą statutinės įstaigos</w:t>
      </w:r>
      <w:r>
        <w:rPr>
          <w:lang w:val="lt-LT"/>
        </w:rPr>
        <w:t xml:space="preserve"> motyvuoja tuo, kad </w:t>
      </w:r>
      <w:r w:rsidR="00173280">
        <w:rPr>
          <w:lang w:val="lt-LT"/>
        </w:rPr>
        <w:t xml:space="preserve">yra </w:t>
      </w:r>
      <w:r>
        <w:rPr>
          <w:lang w:val="lt-LT"/>
        </w:rPr>
        <w:t xml:space="preserve">laikomasi VRM rekomendacijų. </w:t>
      </w:r>
    </w:p>
    <w:p w14:paraId="6315AFEC" w14:textId="77777777" w:rsidR="009958D7" w:rsidRDefault="009958D7" w:rsidP="00AF2310">
      <w:pPr>
        <w:spacing w:line="276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Pažymėtina, kad </w:t>
      </w:r>
      <w:r w:rsidRPr="009958D7">
        <w:rPr>
          <w:u w:val="single"/>
          <w:lang w:val="lt-LT"/>
        </w:rPr>
        <w:t>VRM rekomendacijų tikslas – paaiškinti praktinio pobūdžio problemas ir klausimus, kylančius taikant Vidaus tarnybos statutą ir įgyvendinamuosius teisės aktus, o ne pakeisti teisinį reguliavimą</w:t>
      </w:r>
      <w:r>
        <w:rPr>
          <w:lang w:val="lt-LT"/>
        </w:rPr>
        <w:t xml:space="preserve">. </w:t>
      </w:r>
    </w:p>
    <w:p w14:paraId="520ACEC5" w14:textId="77777777" w:rsidR="00B2216A" w:rsidRDefault="00B2216A" w:rsidP="00AF2310">
      <w:pPr>
        <w:spacing w:line="276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Atkreiptinas dėmesys, kad VRM interneto svetainėje pateiktose </w:t>
      </w:r>
      <w:r w:rsidRPr="00B2216A">
        <w:rPr>
          <w:lang w:val="lt-LT"/>
        </w:rPr>
        <w:t>Rekomendacijos</w:t>
      </w:r>
      <w:r>
        <w:rPr>
          <w:lang w:val="lt-LT"/>
        </w:rPr>
        <w:t>e</w:t>
      </w:r>
      <w:r w:rsidRPr="00B2216A">
        <w:rPr>
          <w:lang w:val="lt-LT"/>
        </w:rPr>
        <w:t xml:space="preserve"> dėl suminės darbo laiko apskaitos taikymo vidaus reikalų statutinėse įstaigose</w:t>
      </w:r>
      <w:r>
        <w:rPr>
          <w:lang w:val="lt-LT"/>
        </w:rPr>
        <w:t xml:space="preserve"> (10 punkte) nurodyta, kad </w:t>
      </w:r>
      <w:r w:rsidRPr="00B2216A">
        <w:rPr>
          <w:i/>
          <w:u w:val="single"/>
          <w:lang w:val="lt-LT"/>
        </w:rPr>
        <w:t xml:space="preserve">mokant darbuotojui </w:t>
      </w:r>
      <w:r w:rsidRPr="00CB4999">
        <w:rPr>
          <w:b/>
          <w:i/>
          <w:u w:val="single"/>
          <w:lang w:val="lt-LT"/>
        </w:rPr>
        <w:t>ligos išmoką</w:t>
      </w:r>
      <w:r w:rsidRPr="00B2216A">
        <w:rPr>
          <w:i/>
          <w:u w:val="single"/>
          <w:lang w:val="lt-LT"/>
        </w:rPr>
        <w:t xml:space="preserve"> už dvi pirmąsias kalendorines nedarbingumo dienas, darbuotojui turėtų būti </w:t>
      </w:r>
      <w:r w:rsidRPr="00CB4999">
        <w:rPr>
          <w:b/>
          <w:i/>
          <w:u w:val="single"/>
          <w:lang w:val="lt-LT"/>
        </w:rPr>
        <w:t>mokama pagal darbo grafike nustatytą darbo laiką</w:t>
      </w:r>
      <w:r w:rsidRPr="00B2216A">
        <w:rPr>
          <w:lang w:val="lt-LT"/>
        </w:rPr>
        <w:t>.</w:t>
      </w:r>
      <w:r w:rsidR="00CB4999">
        <w:rPr>
          <w:lang w:val="lt-LT"/>
        </w:rPr>
        <w:t xml:space="preserve"> </w:t>
      </w:r>
      <w:r w:rsidR="00D97303">
        <w:rPr>
          <w:lang w:val="lt-LT"/>
        </w:rPr>
        <w:t>Šiose r</w:t>
      </w:r>
      <w:r w:rsidR="00CB4999">
        <w:rPr>
          <w:lang w:val="lt-LT"/>
        </w:rPr>
        <w:t>ekomendacijose pateikiamas paaiškinimas ir dėl pareigūno darbo laiko normos perskaičiavimo dėl jo laikinojo nedarbingumo.</w:t>
      </w:r>
    </w:p>
    <w:p w14:paraId="03AB33D6" w14:textId="77777777" w:rsidR="00B2216A" w:rsidRPr="00D32AD2" w:rsidRDefault="00B2216A" w:rsidP="00AF2310">
      <w:pPr>
        <w:spacing w:line="276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VRM 2019 m. vasario 2 d. rašte Nr. </w:t>
      </w:r>
      <w:r w:rsidR="003045CF">
        <w:rPr>
          <w:lang w:val="lt-LT"/>
        </w:rPr>
        <w:t>1D-638 „D</w:t>
      </w:r>
      <w:r w:rsidR="003045CF" w:rsidRPr="003045CF">
        <w:rPr>
          <w:lang w:val="lt-LT"/>
        </w:rPr>
        <w:t xml:space="preserve">ėl </w:t>
      </w:r>
      <w:r w:rsidR="003045CF">
        <w:rPr>
          <w:lang w:val="lt-LT"/>
        </w:rPr>
        <w:t>Lietuvos R</w:t>
      </w:r>
      <w:r w:rsidR="003045CF" w:rsidRPr="003045CF">
        <w:rPr>
          <w:lang w:val="lt-LT"/>
        </w:rPr>
        <w:t>espublikos vidaus tarnybos statuto nuostatų taikymo kasmetinių atostogų klausimais</w:t>
      </w:r>
      <w:r w:rsidR="003045CF">
        <w:rPr>
          <w:lang w:val="lt-LT"/>
        </w:rPr>
        <w:t>“ yra pateikiamos</w:t>
      </w:r>
      <w:r w:rsidR="00D97303">
        <w:rPr>
          <w:lang w:val="lt-LT"/>
        </w:rPr>
        <w:t xml:space="preserve"> </w:t>
      </w:r>
      <w:r w:rsidR="00D97303" w:rsidRPr="00D97303">
        <w:rPr>
          <w:u w:val="single"/>
          <w:lang w:val="lt-LT"/>
        </w:rPr>
        <w:t>tik</w:t>
      </w:r>
      <w:r w:rsidR="003045CF" w:rsidRPr="00D97303">
        <w:rPr>
          <w:u w:val="single"/>
          <w:lang w:val="lt-LT"/>
        </w:rPr>
        <w:t xml:space="preserve"> rekomendacijos</w:t>
      </w:r>
      <w:r w:rsidR="003045CF" w:rsidRPr="00D32AD2">
        <w:rPr>
          <w:u w:val="single"/>
          <w:lang w:val="lt-LT"/>
        </w:rPr>
        <w:t xml:space="preserve"> d</w:t>
      </w:r>
      <w:r w:rsidR="003045CF" w:rsidRPr="003045CF">
        <w:rPr>
          <w:u w:val="single"/>
          <w:lang w:val="lt-LT"/>
        </w:rPr>
        <w:t>ėl kasmetinių atostogų suteikimo pamainomis dirbantiems vidaus tarnybos sistemos pareigūnams</w:t>
      </w:r>
      <w:r w:rsidR="003045CF" w:rsidRPr="003045CF">
        <w:rPr>
          <w:lang w:val="lt-LT"/>
        </w:rPr>
        <w:t xml:space="preserve"> </w:t>
      </w:r>
      <w:r w:rsidR="003045CF" w:rsidRPr="003045CF">
        <w:rPr>
          <w:lang w:val="lt-LT"/>
        </w:rPr>
        <w:lastRenderedPageBreak/>
        <w:t xml:space="preserve">(toliau – pareigūnai), </w:t>
      </w:r>
      <w:r w:rsidR="003045CF" w:rsidRPr="00D97303">
        <w:rPr>
          <w:u w:val="single"/>
          <w:lang w:val="lt-LT"/>
        </w:rPr>
        <w:t>kuriems taikoma suminė darbo laiko apskaita</w:t>
      </w:r>
      <w:r w:rsidR="003045CF">
        <w:rPr>
          <w:lang w:val="lt-LT"/>
        </w:rPr>
        <w:t xml:space="preserve">, vadovaujantis 2019 m. sausio 1 d. įsigaliojusiu Lietuvos Respublikos vidaus tarnybos statutu. Pažymėtina, kad nurodytame </w:t>
      </w:r>
      <w:r w:rsidR="003045CF" w:rsidRPr="007404C2">
        <w:rPr>
          <w:u w:val="single"/>
          <w:lang w:val="lt-LT"/>
        </w:rPr>
        <w:t>VRM rašte neteikiama nuomonė dėl ligos išmokos mokėjimo pareigūnams už 2 pirmąsias kalendorines</w:t>
      </w:r>
      <w:r w:rsidR="003045CF" w:rsidRPr="003045CF">
        <w:rPr>
          <w:u w:val="single"/>
          <w:lang w:val="lt-LT"/>
        </w:rPr>
        <w:t xml:space="preserve"> laikinojo nedarbingumo dienas</w:t>
      </w:r>
      <w:r w:rsidR="00D32AD2">
        <w:rPr>
          <w:lang w:val="lt-LT"/>
        </w:rPr>
        <w:t>.</w:t>
      </w:r>
      <w:r w:rsidR="007404C2" w:rsidRPr="00D32AD2">
        <w:rPr>
          <w:lang w:val="lt-LT"/>
        </w:rPr>
        <w:t xml:space="preserve"> </w:t>
      </w:r>
      <w:r w:rsidR="00D32AD2">
        <w:rPr>
          <w:lang w:val="lt-LT"/>
        </w:rPr>
        <w:t>A</w:t>
      </w:r>
      <w:r w:rsidR="007404C2" w:rsidRPr="00D32AD2">
        <w:rPr>
          <w:lang w:val="lt-LT"/>
        </w:rPr>
        <w:t>pmokėjim</w:t>
      </w:r>
      <w:r w:rsidR="00D32AD2">
        <w:rPr>
          <w:lang w:val="lt-LT"/>
        </w:rPr>
        <w:t>as</w:t>
      </w:r>
      <w:r w:rsidR="007404C2" w:rsidRPr="00D32AD2">
        <w:rPr>
          <w:lang w:val="lt-LT"/>
        </w:rPr>
        <w:t xml:space="preserve"> už kasmetines atostogas reguliuojama</w:t>
      </w:r>
      <w:r w:rsidR="00D32AD2">
        <w:rPr>
          <w:lang w:val="lt-LT"/>
        </w:rPr>
        <w:t>s</w:t>
      </w:r>
      <w:r w:rsidR="007404C2" w:rsidRPr="00D32AD2">
        <w:rPr>
          <w:lang w:val="lt-LT"/>
        </w:rPr>
        <w:t xml:space="preserve"> kitais teisės aktais nei ligos išmokos mokėjimas</w:t>
      </w:r>
      <w:r w:rsidR="00D97303">
        <w:rPr>
          <w:lang w:val="lt-LT"/>
        </w:rPr>
        <w:t xml:space="preserve"> ir skiriasi </w:t>
      </w:r>
      <w:r w:rsidR="007404C2" w:rsidRPr="00D32AD2">
        <w:rPr>
          <w:lang w:val="lt-LT"/>
        </w:rPr>
        <w:t>nuo ligos išmokos mokėjimo.</w:t>
      </w:r>
    </w:p>
    <w:p w14:paraId="59F04B2B" w14:textId="77777777" w:rsidR="004973FA" w:rsidRDefault="004973FA" w:rsidP="00AF2310">
      <w:pPr>
        <w:spacing w:line="276" w:lineRule="auto"/>
        <w:ind w:firstLine="720"/>
        <w:jc w:val="both"/>
        <w:rPr>
          <w:lang w:val="lt-LT"/>
        </w:rPr>
      </w:pPr>
      <w:r w:rsidRPr="00550840">
        <w:rPr>
          <w:lang w:val="lt-LT"/>
        </w:rPr>
        <w:t xml:space="preserve">Lietuvos Respublikos valstybinio socialinio drausimo įstatymo 4 straipsnio 4 dalyje nustatyta, kad </w:t>
      </w:r>
      <w:r w:rsidRPr="00550840">
        <w:rPr>
          <w:i/>
          <w:u w:val="single"/>
          <w:lang w:val="lt-LT"/>
        </w:rPr>
        <w:t>vidaus tarnybos sistemos pareigūnai draudžiami</w:t>
      </w:r>
      <w:r w:rsidRPr="00550840">
        <w:rPr>
          <w:i/>
          <w:lang w:val="lt-LT"/>
        </w:rPr>
        <w:t xml:space="preserve"> pensijų, </w:t>
      </w:r>
      <w:r w:rsidRPr="00550840">
        <w:rPr>
          <w:i/>
          <w:u w:val="single"/>
          <w:lang w:val="lt-LT"/>
        </w:rPr>
        <w:t>ligos</w:t>
      </w:r>
      <w:r w:rsidRPr="00550840">
        <w:rPr>
          <w:i/>
          <w:lang w:val="lt-LT"/>
        </w:rPr>
        <w:t>, motinystės, nedarbo, nelaimingų atsitikimų darbe ir profesinių ligų socialiniu draudimu</w:t>
      </w:r>
      <w:r w:rsidRPr="004973FA">
        <w:rPr>
          <w:lang w:val="lt-LT"/>
        </w:rPr>
        <w:t>.</w:t>
      </w:r>
      <w:r>
        <w:rPr>
          <w:lang w:val="lt-LT"/>
        </w:rPr>
        <w:t xml:space="preserve"> Lietuvos Respublikos ligos ir motinystės socialinio drausimo įstatymo 14 straipsnio </w:t>
      </w:r>
      <w:r w:rsidR="00550840">
        <w:rPr>
          <w:lang w:val="lt-LT"/>
        </w:rPr>
        <w:t xml:space="preserve">8 dalyje nustatyta, kad </w:t>
      </w:r>
      <w:r w:rsidR="00550840" w:rsidRPr="00550840">
        <w:rPr>
          <w:i/>
          <w:u w:val="single"/>
          <w:lang w:val="lt-LT"/>
        </w:rPr>
        <w:t>ligos išmoka</w:t>
      </w:r>
      <w:r w:rsidR="00550840" w:rsidRPr="00550840">
        <w:rPr>
          <w:i/>
          <w:lang w:val="lt-LT"/>
        </w:rPr>
        <w:t xml:space="preserve"> apskaičiuojama ir mokama </w:t>
      </w:r>
      <w:r w:rsidR="00550840" w:rsidRPr="00550840">
        <w:rPr>
          <w:i/>
          <w:u w:val="single"/>
          <w:lang w:val="lt-LT"/>
        </w:rPr>
        <w:t>Ligos ir motinystės socialinio draudimo išmokų nuostatuose</w:t>
      </w:r>
      <w:r w:rsidR="00550840" w:rsidRPr="00550840">
        <w:rPr>
          <w:i/>
          <w:lang w:val="lt-LT"/>
        </w:rPr>
        <w:t xml:space="preserve"> nustatyta tvarka</w:t>
      </w:r>
      <w:r w:rsidR="00550840" w:rsidRPr="00550840">
        <w:rPr>
          <w:lang w:val="lt-LT"/>
        </w:rPr>
        <w:t>.</w:t>
      </w:r>
    </w:p>
    <w:p w14:paraId="728093D3" w14:textId="77777777" w:rsidR="003045CF" w:rsidRDefault="00550840" w:rsidP="00AF2310">
      <w:pPr>
        <w:spacing w:line="276" w:lineRule="auto"/>
        <w:ind w:firstLine="720"/>
        <w:jc w:val="both"/>
        <w:rPr>
          <w:lang w:val="lt-LT"/>
        </w:rPr>
      </w:pPr>
      <w:r>
        <w:rPr>
          <w:lang w:val="lt-LT"/>
        </w:rPr>
        <w:t>Taigi, l</w:t>
      </w:r>
      <w:r w:rsidR="003045CF">
        <w:rPr>
          <w:lang w:val="lt-LT"/>
        </w:rPr>
        <w:t>igos išmokos mokėjimą visiems dirbantiesiems</w:t>
      </w:r>
      <w:r w:rsidR="007404C2">
        <w:rPr>
          <w:lang w:val="lt-LT"/>
        </w:rPr>
        <w:t xml:space="preserve"> (įskaitant ir pareigūnus)</w:t>
      </w:r>
      <w:r w:rsidR="003045CF">
        <w:rPr>
          <w:lang w:val="lt-LT"/>
        </w:rPr>
        <w:t xml:space="preserve"> už 2 pirmąsias kalendorines </w:t>
      </w:r>
      <w:r w:rsidR="00075778">
        <w:rPr>
          <w:lang w:val="lt-LT"/>
        </w:rPr>
        <w:t>dienas nustato</w:t>
      </w:r>
      <w:r w:rsidR="007404C2">
        <w:rPr>
          <w:lang w:val="lt-LT"/>
        </w:rPr>
        <w:t xml:space="preserve"> </w:t>
      </w:r>
      <w:r w:rsidR="007404C2" w:rsidRPr="00550840">
        <w:rPr>
          <w:b/>
          <w:lang w:val="lt-LT"/>
        </w:rPr>
        <w:t>Ligos ir motinystės socialinio draudimo išmokų nuostatai</w:t>
      </w:r>
      <w:r w:rsidR="00075778">
        <w:rPr>
          <w:lang w:val="lt-LT"/>
        </w:rPr>
        <w:t xml:space="preserve"> (33</w:t>
      </w:r>
      <w:r>
        <w:rPr>
          <w:lang w:val="lt-LT"/>
        </w:rPr>
        <w:t> </w:t>
      </w:r>
      <w:r w:rsidR="00075778">
        <w:rPr>
          <w:lang w:val="lt-LT"/>
        </w:rPr>
        <w:t>punktas)</w:t>
      </w:r>
      <w:r w:rsidR="007404C2">
        <w:rPr>
          <w:lang w:val="lt-LT"/>
        </w:rPr>
        <w:t xml:space="preserve">, kurių </w:t>
      </w:r>
      <w:r w:rsidR="007404C2" w:rsidRPr="00320F94">
        <w:rPr>
          <w:u w:val="single"/>
          <w:lang w:val="lt-LT"/>
        </w:rPr>
        <w:t>privalo laikytis</w:t>
      </w:r>
      <w:r w:rsidR="007404C2">
        <w:rPr>
          <w:lang w:val="lt-LT"/>
        </w:rPr>
        <w:t xml:space="preserve"> ir statutinės įstaigos, mokėdamos ligos išmoką</w:t>
      </w:r>
      <w:r w:rsidR="00320F94">
        <w:rPr>
          <w:lang w:val="lt-LT"/>
        </w:rPr>
        <w:t xml:space="preserve"> pareigūnams</w:t>
      </w:r>
      <w:r w:rsidR="00075778">
        <w:rPr>
          <w:lang w:val="lt-LT"/>
        </w:rPr>
        <w:t xml:space="preserve">, </w:t>
      </w:r>
      <w:r>
        <w:rPr>
          <w:lang w:val="lt-LT"/>
        </w:rPr>
        <w:t>o</w:t>
      </w:r>
      <w:r w:rsidR="00075778">
        <w:rPr>
          <w:lang w:val="lt-LT"/>
        </w:rPr>
        <w:t xml:space="preserve"> </w:t>
      </w:r>
      <w:r w:rsidR="00075778" w:rsidRPr="001F54FB">
        <w:rPr>
          <w:u w:val="single"/>
          <w:lang w:val="lt-LT"/>
        </w:rPr>
        <w:t xml:space="preserve">šio reikalavimo nevykdymas yra </w:t>
      </w:r>
      <w:r w:rsidR="001F54FB">
        <w:rPr>
          <w:u w:val="single"/>
          <w:lang w:val="lt-LT"/>
        </w:rPr>
        <w:t xml:space="preserve">ne tik </w:t>
      </w:r>
      <w:r w:rsidR="00075778" w:rsidRPr="001F54FB">
        <w:rPr>
          <w:u w:val="single"/>
          <w:lang w:val="lt-LT"/>
        </w:rPr>
        <w:t>pirmiau nurodyto teisės akto</w:t>
      </w:r>
      <w:r w:rsidR="001F54FB">
        <w:rPr>
          <w:u w:val="single"/>
          <w:lang w:val="lt-LT"/>
        </w:rPr>
        <w:t>, bet ir pareigūno teisės į ligos išmoką</w:t>
      </w:r>
      <w:r w:rsidR="00075778" w:rsidRPr="001F54FB">
        <w:rPr>
          <w:u w:val="single"/>
          <w:lang w:val="lt-LT"/>
        </w:rPr>
        <w:t xml:space="preserve"> pažeidimas</w:t>
      </w:r>
      <w:r w:rsidR="00320F94">
        <w:rPr>
          <w:lang w:val="lt-LT"/>
        </w:rPr>
        <w:t>.</w:t>
      </w:r>
    </w:p>
    <w:p w14:paraId="49B3F25F" w14:textId="436114A3" w:rsidR="00AF2310" w:rsidRDefault="00320F94" w:rsidP="00744447">
      <w:pPr>
        <w:spacing w:line="276" w:lineRule="auto"/>
        <w:ind w:firstLine="720"/>
        <w:jc w:val="both"/>
        <w:rPr>
          <w:szCs w:val="24"/>
          <w:lang w:val="lt-LT"/>
        </w:rPr>
      </w:pPr>
      <w:r>
        <w:rPr>
          <w:lang w:val="lt-LT"/>
        </w:rPr>
        <w:t xml:space="preserve">Atsižvelgdami į tai, kas išdėstyta, informuojame, kad jeigu </w:t>
      </w:r>
      <w:r w:rsidR="003671D3">
        <w:rPr>
          <w:lang w:val="lt-LT"/>
        </w:rPr>
        <w:t>centrinėje statutinėje</w:t>
      </w:r>
      <w:r>
        <w:rPr>
          <w:lang w:val="lt-LT"/>
        </w:rPr>
        <w:t xml:space="preserve"> įstaigoje ar pavaldžiose įstaigose </w:t>
      </w:r>
      <w:r w:rsidRPr="001203B2">
        <w:rPr>
          <w:u w:val="single"/>
          <w:lang w:val="lt-LT"/>
        </w:rPr>
        <w:t xml:space="preserve">buvo </w:t>
      </w:r>
      <w:r w:rsidR="00E01CC4" w:rsidRPr="001203B2">
        <w:rPr>
          <w:u w:val="single"/>
          <w:lang w:val="lt-LT"/>
        </w:rPr>
        <w:t>nemokėta</w:t>
      </w:r>
      <w:r w:rsidR="00744447">
        <w:rPr>
          <w:lang w:val="lt-LT"/>
        </w:rPr>
        <w:t xml:space="preserve"> ligos išmoka</w:t>
      </w:r>
      <w:r w:rsidR="00E01CC4">
        <w:rPr>
          <w:lang w:val="lt-LT"/>
        </w:rPr>
        <w:t xml:space="preserve"> pareigūnams už 2 pirmąsias laikinojo nedarbingumo dienas, kurios pagal pareigūno </w:t>
      </w:r>
      <w:r w:rsidR="004215C6">
        <w:rPr>
          <w:lang w:val="lt-LT"/>
        </w:rPr>
        <w:t xml:space="preserve">darbo </w:t>
      </w:r>
      <w:r w:rsidR="00E01CC4">
        <w:rPr>
          <w:lang w:val="lt-LT"/>
        </w:rPr>
        <w:t>grafiką buvo darbo dienos</w:t>
      </w:r>
      <w:r w:rsidR="00D32AD2">
        <w:rPr>
          <w:lang w:val="lt-LT"/>
        </w:rPr>
        <w:t xml:space="preserve"> (arba bent viena iš jų buvo darbo diena</w:t>
      </w:r>
      <w:r w:rsidR="00D32AD2" w:rsidRPr="007F3A76">
        <w:rPr>
          <w:lang w:val="lt-LT"/>
        </w:rPr>
        <w:t>)</w:t>
      </w:r>
      <w:r w:rsidR="00E01CC4" w:rsidRPr="007F3A76">
        <w:rPr>
          <w:lang w:val="lt-LT"/>
        </w:rPr>
        <w:t>,</w:t>
      </w:r>
      <w:r w:rsidR="00A33361" w:rsidRPr="007F3A76">
        <w:rPr>
          <w:lang w:val="lt-LT"/>
        </w:rPr>
        <w:t xml:space="preserve"> vadovaujantis Ligos ir motinystės socialinio draudimo išmokų nuostatų 33 punktu ir </w:t>
      </w:r>
      <w:r w:rsidR="002336AD" w:rsidRPr="007F3A76">
        <w:rPr>
          <w:lang w:val="lt-LT"/>
        </w:rPr>
        <w:t>Lietuvos Respublikos darbo kodekso 147 straipsnio 1 dalimi,</w:t>
      </w:r>
      <w:r w:rsidR="00E01CC4" w:rsidRPr="007F3A76">
        <w:rPr>
          <w:lang w:val="lt-LT"/>
        </w:rPr>
        <w:t xml:space="preserve"> </w:t>
      </w:r>
      <w:r w:rsidR="00D32AD2" w:rsidRPr="007F3A76">
        <w:rPr>
          <w:u w:val="single"/>
          <w:lang w:val="lt-LT"/>
        </w:rPr>
        <w:t>nesumokėta</w:t>
      </w:r>
      <w:r w:rsidR="00744447" w:rsidRPr="007F3A76">
        <w:rPr>
          <w:u w:val="single"/>
          <w:lang w:val="lt-LT"/>
        </w:rPr>
        <w:t xml:space="preserve"> ligos išmoka</w:t>
      </w:r>
      <w:r w:rsidR="00B20477" w:rsidRPr="007F3A76">
        <w:rPr>
          <w:u w:val="single"/>
          <w:lang w:val="lt-LT"/>
        </w:rPr>
        <w:t xml:space="preserve"> pareigūnams</w:t>
      </w:r>
      <w:r w:rsidR="00744447" w:rsidRPr="007F3A76">
        <w:rPr>
          <w:u w:val="single"/>
          <w:lang w:val="lt-LT"/>
        </w:rPr>
        <w:t xml:space="preserve"> </w:t>
      </w:r>
      <w:r w:rsidR="00D32AD2" w:rsidRPr="007F3A76">
        <w:rPr>
          <w:u w:val="single"/>
          <w:lang w:val="lt-LT"/>
        </w:rPr>
        <w:t>privalo</w:t>
      </w:r>
      <w:r w:rsidR="00744447" w:rsidRPr="007F3A76">
        <w:rPr>
          <w:u w:val="single"/>
          <w:lang w:val="lt-LT"/>
        </w:rPr>
        <w:t xml:space="preserve"> būti </w:t>
      </w:r>
      <w:r w:rsidR="001203B2" w:rsidRPr="007F3A76">
        <w:rPr>
          <w:u w:val="single"/>
          <w:lang w:val="lt-LT"/>
        </w:rPr>
        <w:t xml:space="preserve">nedelsiant </w:t>
      </w:r>
      <w:r w:rsidR="00744447" w:rsidRPr="007F3A76">
        <w:rPr>
          <w:u w:val="single"/>
          <w:lang w:val="lt-LT"/>
        </w:rPr>
        <w:t>sumokėta</w:t>
      </w:r>
      <w:r w:rsidR="00744447" w:rsidRPr="007F3A76">
        <w:rPr>
          <w:lang w:val="lt-LT"/>
        </w:rPr>
        <w:t xml:space="preserve">, įskaitant delspinigius už </w:t>
      </w:r>
      <w:r w:rsidR="00B20477" w:rsidRPr="007F3A76">
        <w:rPr>
          <w:lang w:val="lt-LT"/>
        </w:rPr>
        <w:t>kiekvieną pavėluotą dieną</w:t>
      </w:r>
      <w:r w:rsidR="004215C6" w:rsidRPr="007F3A76">
        <w:rPr>
          <w:lang w:val="lt-LT"/>
        </w:rPr>
        <w:t>, kurių dydis nustatytas</w:t>
      </w:r>
      <w:r w:rsidR="009D0E08" w:rsidRPr="007F3A76">
        <w:rPr>
          <w:lang w:val="lt-LT"/>
        </w:rPr>
        <w:t xml:space="preserve"> Lietuvos Respublikos socialinės apsaugos ir darbo ministro</w:t>
      </w:r>
      <w:bookmarkStart w:id="0" w:name="_GoBack"/>
      <w:bookmarkEnd w:id="0"/>
      <w:r w:rsidR="009D0E08">
        <w:rPr>
          <w:lang w:val="lt-LT"/>
        </w:rPr>
        <w:t xml:space="preserve"> 2018 m. sausio 19</w:t>
      </w:r>
      <w:r w:rsidR="002336AD">
        <w:rPr>
          <w:lang w:val="lt-LT"/>
        </w:rPr>
        <w:t> </w:t>
      </w:r>
      <w:r w:rsidR="009D0E08">
        <w:rPr>
          <w:lang w:val="lt-LT"/>
        </w:rPr>
        <w:t xml:space="preserve">d. įsakymu Nr. A1-31 „Dėl </w:t>
      </w:r>
      <w:r w:rsidR="009D0E08" w:rsidRPr="009D0E08">
        <w:rPr>
          <w:lang w:val="lt-LT"/>
        </w:rPr>
        <w:t>delspinigių dydžio, kai darbo santykiams nepasibaigus dėl darbdavio kaltės pavėluotai išmokamas darbo užmokestis ar kitos su darbo santykiais susijusios išmokos, patvirtinimo</w:t>
      </w:r>
      <w:r w:rsidR="009D0E08">
        <w:rPr>
          <w:lang w:val="lt-LT"/>
        </w:rPr>
        <w:t>“.</w:t>
      </w:r>
    </w:p>
    <w:p w14:paraId="176615EF" w14:textId="77777777" w:rsidR="00E36040" w:rsidRDefault="00E36040" w:rsidP="00374C5C">
      <w:pPr>
        <w:pStyle w:val="Antrats"/>
        <w:tabs>
          <w:tab w:val="left" w:pos="993"/>
        </w:tabs>
        <w:spacing w:line="276" w:lineRule="auto"/>
        <w:ind w:firstLine="709"/>
        <w:jc w:val="both"/>
      </w:pPr>
    </w:p>
    <w:p w14:paraId="4264291F" w14:textId="77777777" w:rsidR="00A45EE5" w:rsidRPr="00A45EE5" w:rsidRDefault="00A45EE5" w:rsidP="00E21EF0">
      <w:pPr>
        <w:pStyle w:val="Antrats"/>
        <w:ind w:firstLine="720"/>
        <w:jc w:val="both"/>
      </w:pPr>
    </w:p>
    <w:p w14:paraId="178A660D" w14:textId="77777777" w:rsidR="00733FA3" w:rsidRDefault="00733FA3" w:rsidP="00C46C0F">
      <w:pPr>
        <w:pStyle w:val="Antrats"/>
        <w:ind w:firstLine="72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70"/>
      </w:tblGrid>
      <w:tr w:rsidR="00733FA3" w:rsidRPr="00BD3186" w14:paraId="7943A560" w14:textId="77777777" w:rsidTr="000F551C">
        <w:tc>
          <w:tcPr>
            <w:tcW w:w="5778" w:type="dxa"/>
          </w:tcPr>
          <w:p w14:paraId="3379C7C1" w14:textId="77777777" w:rsidR="00733FA3" w:rsidRDefault="00733FA3" w:rsidP="00EC105A">
            <w:pPr>
              <w:pStyle w:val="Antrats"/>
              <w:tabs>
                <w:tab w:val="clear" w:pos="4153"/>
                <w:tab w:val="clear" w:pos="8306"/>
              </w:tabs>
            </w:pPr>
            <w:r>
              <w:t xml:space="preserve">Vidaus reikalų </w:t>
            </w:r>
            <w:r w:rsidR="00374C5C">
              <w:t>vice</w:t>
            </w:r>
            <w:r>
              <w:t>ministras</w:t>
            </w:r>
          </w:p>
        </w:tc>
        <w:tc>
          <w:tcPr>
            <w:tcW w:w="3870" w:type="dxa"/>
          </w:tcPr>
          <w:p w14:paraId="61F11872" w14:textId="77777777" w:rsidR="00733FA3" w:rsidRDefault="004818FA" w:rsidP="00E21EF0">
            <w:pPr>
              <w:pStyle w:val="Antrats"/>
              <w:tabs>
                <w:tab w:val="clear" w:pos="4153"/>
                <w:tab w:val="clear" w:pos="8306"/>
              </w:tabs>
              <w:jc w:val="right"/>
            </w:pPr>
            <w:r>
              <w:t>Česlovas Mulma</w:t>
            </w:r>
          </w:p>
        </w:tc>
      </w:tr>
    </w:tbl>
    <w:p w14:paraId="332C5D85" w14:textId="77777777" w:rsidR="00733FA3" w:rsidRDefault="00733FA3" w:rsidP="00E21EF0">
      <w:pPr>
        <w:pStyle w:val="Antrats"/>
        <w:tabs>
          <w:tab w:val="clear" w:pos="4153"/>
          <w:tab w:val="clear" w:pos="8306"/>
        </w:tabs>
      </w:pPr>
    </w:p>
    <w:p w14:paraId="480C84B8" w14:textId="77777777" w:rsidR="00DA6639" w:rsidRDefault="00DA6639" w:rsidP="00E21EF0">
      <w:pPr>
        <w:pStyle w:val="Antrats"/>
        <w:tabs>
          <w:tab w:val="clear" w:pos="4153"/>
          <w:tab w:val="clear" w:pos="8306"/>
        </w:tabs>
      </w:pPr>
    </w:p>
    <w:p w14:paraId="234C52AC" w14:textId="77777777" w:rsidR="00776D51" w:rsidRDefault="00776D51" w:rsidP="00E21EF0">
      <w:pPr>
        <w:rPr>
          <w:lang w:val="lt-LT"/>
        </w:rPr>
      </w:pPr>
    </w:p>
    <w:p w14:paraId="420C636E" w14:textId="77777777" w:rsidR="00EC105A" w:rsidRDefault="00EC105A" w:rsidP="00E21EF0">
      <w:pPr>
        <w:rPr>
          <w:lang w:val="lt-LT"/>
        </w:rPr>
      </w:pPr>
    </w:p>
    <w:p w14:paraId="704F4FB8" w14:textId="77777777" w:rsidR="003D5D56" w:rsidRDefault="003D5D56" w:rsidP="00E21EF0">
      <w:pPr>
        <w:rPr>
          <w:lang w:val="lt-LT"/>
        </w:rPr>
      </w:pPr>
    </w:p>
    <w:p w14:paraId="2DB2411A" w14:textId="77777777" w:rsidR="00EC105A" w:rsidRDefault="00EC105A" w:rsidP="00E21EF0">
      <w:pPr>
        <w:rPr>
          <w:lang w:val="lt-LT"/>
        </w:rPr>
      </w:pPr>
    </w:p>
    <w:p w14:paraId="2A7854A5" w14:textId="77777777" w:rsidR="00AF2310" w:rsidRDefault="00AF2310" w:rsidP="00E21EF0">
      <w:pPr>
        <w:rPr>
          <w:lang w:val="lt-LT"/>
        </w:rPr>
      </w:pPr>
    </w:p>
    <w:p w14:paraId="6553FB61" w14:textId="77777777" w:rsidR="00AF2310" w:rsidRDefault="00AF2310" w:rsidP="00E21EF0">
      <w:pPr>
        <w:rPr>
          <w:lang w:val="lt-LT"/>
        </w:rPr>
      </w:pPr>
    </w:p>
    <w:p w14:paraId="61DFB657" w14:textId="77777777" w:rsidR="0011563D" w:rsidRDefault="0011563D" w:rsidP="00E21EF0">
      <w:pPr>
        <w:rPr>
          <w:lang w:val="lt-LT"/>
        </w:rPr>
      </w:pPr>
    </w:p>
    <w:p w14:paraId="5E631C58" w14:textId="77777777" w:rsidR="0011563D" w:rsidRDefault="0011563D" w:rsidP="00E21EF0">
      <w:pPr>
        <w:rPr>
          <w:lang w:val="lt-LT"/>
        </w:rPr>
      </w:pPr>
    </w:p>
    <w:p w14:paraId="1B4335A9" w14:textId="77777777" w:rsidR="0011563D" w:rsidRDefault="0011563D" w:rsidP="00E21EF0">
      <w:pPr>
        <w:rPr>
          <w:lang w:val="lt-LT"/>
        </w:rPr>
      </w:pPr>
    </w:p>
    <w:p w14:paraId="7C6E5820" w14:textId="77777777" w:rsidR="0011563D" w:rsidRDefault="0011563D" w:rsidP="00E21EF0">
      <w:pPr>
        <w:rPr>
          <w:lang w:val="lt-LT"/>
        </w:rPr>
      </w:pPr>
    </w:p>
    <w:p w14:paraId="3037CB9F" w14:textId="77777777" w:rsidR="0011563D" w:rsidRDefault="0011563D" w:rsidP="00E21EF0">
      <w:pPr>
        <w:rPr>
          <w:lang w:val="lt-LT"/>
        </w:rPr>
      </w:pPr>
    </w:p>
    <w:p w14:paraId="678B604F" w14:textId="77777777" w:rsidR="0011563D" w:rsidRDefault="0011563D" w:rsidP="00E21EF0">
      <w:pPr>
        <w:rPr>
          <w:lang w:val="lt-LT"/>
        </w:rPr>
      </w:pPr>
    </w:p>
    <w:p w14:paraId="68FAB6D3" w14:textId="77777777" w:rsidR="00AF2310" w:rsidRDefault="00AF2310" w:rsidP="00E21EF0">
      <w:pPr>
        <w:rPr>
          <w:lang w:val="lt-LT"/>
        </w:rPr>
      </w:pPr>
    </w:p>
    <w:p w14:paraId="7544ADB7" w14:textId="77777777" w:rsidR="00776D51" w:rsidRPr="005F74FC" w:rsidRDefault="00776D51" w:rsidP="00733FA3">
      <w:pPr>
        <w:rPr>
          <w:lang w:val="lt-LT"/>
        </w:rPr>
      </w:pPr>
    </w:p>
    <w:p w14:paraId="66C9495A" w14:textId="77777777" w:rsidR="002174A5" w:rsidRPr="00733FA3" w:rsidRDefault="00F456D7" w:rsidP="00F456D7">
      <w:pPr>
        <w:rPr>
          <w:lang w:val="lt-LT"/>
        </w:rPr>
      </w:pPr>
      <w:r w:rsidRPr="002734D5">
        <w:rPr>
          <w:lang w:val="fr-FR"/>
        </w:rPr>
        <w:t>Inga Prialgauskienė, tel. (8 5) 271 8233, el. p</w:t>
      </w:r>
      <w:r w:rsidRPr="006070E4">
        <w:rPr>
          <w:lang w:val="fr-FR"/>
        </w:rPr>
        <w:t xml:space="preserve">. </w:t>
      </w:r>
      <w:r w:rsidRPr="00F53B45">
        <w:t>inga.prialgauskiene@vrm.lt</w:t>
      </w:r>
    </w:p>
    <w:sectPr w:rsidR="002174A5" w:rsidRPr="00733FA3" w:rsidSect="00627D02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701" w:header="567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7677F" w14:textId="77777777" w:rsidR="00693F1D" w:rsidRDefault="00693F1D" w:rsidP="00733FA3">
      <w:r>
        <w:separator/>
      </w:r>
    </w:p>
  </w:endnote>
  <w:endnote w:type="continuationSeparator" w:id="0">
    <w:p w14:paraId="11B898B0" w14:textId="77777777" w:rsidR="00693F1D" w:rsidRDefault="00693F1D" w:rsidP="0073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entelstinklelis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7A5420" w14:paraId="19FA4D96" w14:textId="77777777" w:rsidTr="007A5420">
      <w:tc>
        <w:tcPr>
          <w:tcW w:w="9464" w:type="dxa"/>
        </w:tcPr>
        <w:p w14:paraId="3835ABC5" w14:textId="77777777" w:rsidR="007A5420" w:rsidRDefault="007A5420" w:rsidP="007A5420">
          <w:pPr>
            <w:pStyle w:val="Porat"/>
            <w:jc w:val="right"/>
          </w:pPr>
        </w:p>
        <w:p w14:paraId="7E0B7E54" w14:textId="77777777" w:rsidR="007A5420" w:rsidRDefault="007A5420" w:rsidP="00733FA3">
          <w:pPr>
            <w:pStyle w:val="Porat"/>
          </w:pPr>
        </w:p>
      </w:tc>
    </w:tr>
  </w:tbl>
  <w:p w14:paraId="327F2AB7" w14:textId="77777777" w:rsidR="00716678" w:rsidRPr="00733FA3" w:rsidRDefault="00693F1D" w:rsidP="00733FA3">
    <w:pPr>
      <w:pStyle w:val="Por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84625" w14:textId="77777777" w:rsidR="00693F1D" w:rsidRDefault="00693F1D" w:rsidP="00733FA3">
      <w:r>
        <w:separator/>
      </w:r>
    </w:p>
  </w:footnote>
  <w:footnote w:type="continuationSeparator" w:id="0">
    <w:p w14:paraId="51D7D411" w14:textId="77777777" w:rsidR="00693F1D" w:rsidRDefault="00693F1D" w:rsidP="0073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379F" w14:textId="77777777" w:rsidR="00CA0C06" w:rsidRDefault="00EC3D75" w:rsidP="00CA0C0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1761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3577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88EB7AA" w14:textId="77777777" w:rsidR="00CA0C06" w:rsidRDefault="00693F1D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906314"/>
      <w:docPartObj>
        <w:docPartGallery w:val="Page Numbers (Top of Page)"/>
        <w:docPartUnique/>
      </w:docPartObj>
    </w:sdtPr>
    <w:sdtEndPr/>
    <w:sdtContent>
      <w:p w14:paraId="627FC3CF" w14:textId="77777777" w:rsidR="00EC105A" w:rsidRDefault="00334B3A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87CF5D" w14:textId="77777777" w:rsidR="00912AAF" w:rsidRDefault="00912AA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3"/>
    <w:rsid w:val="00011F89"/>
    <w:rsid w:val="000121C5"/>
    <w:rsid w:val="00016237"/>
    <w:rsid w:val="0004497D"/>
    <w:rsid w:val="00075778"/>
    <w:rsid w:val="0008171E"/>
    <w:rsid w:val="000D05F5"/>
    <w:rsid w:val="000E3152"/>
    <w:rsid w:val="000E4F52"/>
    <w:rsid w:val="000E6517"/>
    <w:rsid w:val="0011563D"/>
    <w:rsid w:val="001203B2"/>
    <w:rsid w:val="0014366B"/>
    <w:rsid w:val="00173280"/>
    <w:rsid w:val="00177896"/>
    <w:rsid w:val="0018174A"/>
    <w:rsid w:val="001976A8"/>
    <w:rsid w:val="001A0496"/>
    <w:rsid w:val="001A0FD8"/>
    <w:rsid w:val="001D0F6A"/>
    <w:rsid w:val="001F54FB"/>
    <w:rsid w:val="001F6BC8"/>
    <w:rsid w:val="00203AD5"/>
    <w:rsid w:val="0021165B"/>
    <w:rsid w:val="002174A5"/>
    <w:rsid w:val="002336AD"/>
    <w:rsid w:val="00233F88"/>
    <w:rsid w:val="00240A5D"/>
    <w:rsid w:val="00243577"/>
    <w:rsid w:val="0027743D"/>
    <w:rsid w:val="00281BB8"/>
    <w:rsid w:val="00283AF9"/>
    <w:rsid w:val="00291D5A"/>
    <w:rsid w:val="00292FE8"/>
    <w:rsid w:val="002A026E"/>
    <w:rsid w:val="002C0523"/>
    <w:rsid w:val="002C2B57"/>
    <w:rsid w:val="002E6EF5"/>
    <w:rsid w:val="002F3585"/>
    <w:rsid w:val="003045CF"/>
    <w:rsid w:val="0030681E"/>
    <w:rsid w:val="00320F94"/>
    <w:rsid w:val="00324A65"/>
    <w:rsid w:val="00327256"/>
    <w:rsid w:val="00334B3A"/>
    <w:rsid w:val="00336DE2"/>
    <w:rsid w:val="00342281"/>
    <w:rsid w:val="00347961"/>
    <w:rsid w:val="003635A8"/>
    <w:rsid w:val="00365E1B"/>
    <w:rsid w:val="003664B4"/>
    <w:rsid w:val="003671D3"/>
    <w:rsid w:val="00367737"/>
    <w:rsid w:val="00372CF4"/>
    <w:rsid w:val="00373720"/>
    <w:rsid w:val="00374C5C"/>
    <w:rsid w:val="0038765C"/>
    <w:rsid w:val="003A11BB"/>
    <w:rsid w:val="003D4DD9"/>
    <w:rsid w:val="003D5D56"/>
    <w:rsid w:val="00402A6A"/>
    <w:rsid w:val="00417617"/>
    <w:rsid w:val="004215C6"/>
    <w:rsid w:val="004505F4"/>
    <w:rsid w:val="00461EDA"/>
    <w:rsid w:val="004818FA"/>
    <w:rsid w:val="00482B11"/>
    <w:rsid w:val="004960B7"/>
    <w:rsid w:val="004973FA"/>
    <w:rsid w:val="004A660F"/>
    <w:rsid w:val="004A7CD0"/>
    <w:rsid w:val="004B07AC"/>
    <w:rsid w:val="004B58F3"/>
    <w:rsid w:val="004C3478"/>
    <w:rsid w:val="004C60CB"/>
    <w:rsid w:val="004D0AEF"/>
    <w:rsid w:val="004E6C88"/>
    <w:rsid w:val="004F5374"/>
    <w:rsid w:val="00520CBB"/>
    <w:rsid w:val="005216AE"/>
    <w:rsid w:val="0053460A"/>
    <w:rsid w:val="0054339C"/>
    <w:rsid w:val="00550840"/>
    <w:rsid w:val="00550950"/>
    <w:rsid w:val="00583642"/>
    <w:rsid w:val="005A6B4B"/>
    <w:rsid w:val="005C34E1"/>
    <w:rsid w:val="005D1DF9"/>
    <w:rsid w:val="005D6BEF"/>
    <w:rsid w:val="005E1C9D"/>
    <w:rsid w:val="005F34E9"/>
    <w:rsid w:val="005F5EA9"/>
    <w:rsid w:val="0060241C"/>
    <w:rsid w:val="00624CA1"/>
    <w:rsid w:val="0062748B"/>
    <w:rsid w:val="00627D02"/>
    <w:rsid w:val="006453B7"/>
    <w:rsid w:val="00646F31"/>
    <w:rsid w:val="00654064"/>
    <w:rsid w:val="00675458"/>
    <w:rsid w:val="00686614"/>
    <w:rsid w:val="00693F1D"/>
    <w:rsid w:val="006A48FA"/>
    <w:rsid w:val="006B60E2"/>
    <w:rsid w:val="006C3873"/>
    <w:rsid w:val="006D4B90"/>
    <w:rsid w:val="006D6052"/>
    <w:rsid w:val="006F0813"/>
    <w:rsid w:val="006F1ED2"/>
    <w:rsid w:val="006F4183"/>
    <w:rsid w:val="0070083B"/>
    <w:rsid w:val="00703093"/>
    <w:rsid w:val="00703D9A"/>
    <w:rsid w:val="007175CD"/>
    <w:rsid w:val="00733FA3"/>
    <w:rsid w:val="007404C2"/>
    <w:rsid w:val="00742658"/>
    <w:rsid w:val="0074396D"/>
    <w:rsid w:val="00744447"/>
    <w:rsid w:val="00746455"/>
    <w:rsid w:val="00763431"/>
    <w:rsid w:val="00776D51"/>
    <w:rsid w:val="0077709E"/>
    <w:rsid w:val="00785B8A"/>
    <w:rsid w:val="00794810"/>
    <w:rsid w:val="00796464"/>
    <w:rsid w:val="007A5420"/>
    <w:rsid w:val="007A63DC"/>
    <w:rsid w:val="007A7568"/>
    <w:rsid w:val="007B2C26"/>
    <w:rsid w:val="007D5F18"/>
    <w:rsid w:val="007E46B1"/>
    <w:rsid w:val="007E5544"/>
    <w:rsid w:val="007F3A76"/>
    <w:rsid w:val="007F5641"/>
    <w:rsid w:val="0080078C"/>
    <w:rsid w:val="00813A26"/>
    <w:rsid w:val="0082173F"/>
    <w:rsid w:val="00845727"/>
    <w:rsid w:val="00884F3E"/>
    <w:rsid w:val="00887C94"/>
    <w:rsid w:val="008C2329"/>
    <w:rsid w:val="008E194C"/>
    <w:rsid w:val="00912AAF"/>
    <w:rsid w:val="00914E1E"/>
    <w:rsid w:val="00916D0F"/>
    <w:rsid w:val="00917913"/>
    <w:rsid w:val="0096284C"/>
    <w:rsid w:val="0097746F"/>
    <w:rsid w:val="009958D7"/>
    <w:rsid w:val="009C2B96"/>
    <w:rsid w:val="009C5243"/>
    <w:rsid w:val="009D0E08"/>
    <w:rsid w:val="009D35BA"/>
    <w:rsid w:val="009E0DAD"/>
    <w:rsid w:val="009F56DB"/>
    <w:rsid w:val="00A02FEC"/>
    <w:rsid w:val="00A33361"/>
    <w:rsid w:val="00A33816"/>
    <w:rsid w:val="00A35B0A"/>
    <w:rsid w:val="00A42212"/>
    <w:rsid w:val="00A45EE5"/>
    <w:rsid w:val="00A73DDE"/>
    <w:rsid w:val="00A76792"/>
    <w:rsid w:val="00A76E45"/>
    <w:rsid w:val="00A90DA5"/>
    <w:rsid w:val="00AB396D"/>
    <w:rsid w:val="00AB5E06"/>
    <w:rsid w:val="00AC3607"/>
    <w:rsid w:val="00AF2310"/>
    <w:rsid w:val="00B06864"/>
    <w:rsid w:val="00B20477"/>
    <w:rsid w:val="00B2216A"/>
    <w:rsid w:val="00B2771C"/>
    <w:rsid w:val="00B326B6"/>
    <w:rsid w:val="00B4545F"/>
    <w:rsid w:val="00B76C2D"/>
    <w:rsid w:val="00B92629"/>
    <w:rsid w:val="00BB69BA"/>
    <w:rsid w:val="00BD3186"/>
    <w:rsid w:val="00BE1A56"/>
    <w:rsid w:val="00BF54B6"/>
    <w:rsid w:val="00BF6467"/>
    <w:rsid w:val="00C14CB9"/>
    <w:rsid w:val="00C2786F"/>
    <w:rsid w:val="00C345C7"/>
    <w:rsid w:val="00C36706"/>
    <w:rsid w:val="00C404B9"/>
    <w:rsid w:val="00C46C0F"/>
    <w:rsid w:val="00C577B1"/>
    <w:rsid w:val="00C77E41"/>
    <w:rsid w:val="00C94FBB"/>
    <w:rsid w:val="00C97004"/>
    <w:rsid w:val="00CB0DB7"/>
    <w:rsid w:val="00CB4999"/>
    <w:rsid w:val="00CC7C3B"/>
    <w:rsid w:val="00CD0D5A"/>
    <w:rsid w:val="00CE1940"/>
    <w:rsid w:val="00CE47A4"/>
    <w:rsid w:val="00CF3C44"/>
    <w:rsid w:val="00D108D1"/>
    <w:rsid w:val="00D12158"/>
    <w:rsid w:val="00D272E2"/>
    <w:rsid w:val="00D32AD2"/>
    <w:rsid w:val="00D404A1"/>
    <w:rsid w:val="00D6494D"/>
    <w:rsid w:val="00D8037B"/>
    <w:rsid w:val="00D83967"/>
    <w:rsid w:val="00D93397"/>
    <w:rsid w:val="00D97303"/>
    <w:rsid w:val="00DA1CF1"/>
    <w:rsid w:val="00DA4E07"/>
    <w:rsid w:val="00DA6639"/>
    <w:rsid w:val="00DB2101"/>
    <w:rsid w:val="00DB5B1A"/>
    <w:rsid w:val="00DE3C5A"/>
    <w:rsid w:val="00DF5B61"/>
    <w:rsid w:val="00E01CC4"/>
    <w:rsid w:val="00E21EF0"/>
    <w:rsid w:val="00E36040"/>
    <w:rsid w:val="00E473A3"/>
    <w:rsid w:val="00E52842"/>
    <w:rsid w:val="00E66E16"/>
    <w:rsid w:val="00E9028C"/>
    <w:rsid w:val="00E93869"/>
    <w:rsid w:val="00E9560C"/>
    <w:rsid w:val="00EC105A"/>
    <w:rsid w:val="00EC3D75"/>
    <w:rsid w:val="00EC6920"/>
    <w:rsid w:val="00ED3077"/>
    <w:rsid w:val="00ED33BB"/>
    <w:rsid w:val="00EF1CA6"/>
    <w:rsid w:val="00F13A83"/>
    <w:rsid w:val="00F206C0"/>
    <w:rsid w:val="00F315BD"/>
    <w:rsid w:val="00F456D7"/>
    <w:rsid w:val="00F46740"/>
    <w:rsid w:val="00F53B45"/>
    <w:rsid w:val="00F732F0"/>
    <w:rsid w:val="00F9656A"/>
    <w:rsid w:val="00FB784C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F79D"/>
  <w15:docId w15:val="{A4E75B75-1CB3-4F1F-9D3F-913880DE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33FA3"/>
    <w:pPr>
      <w:spacing w:line="240" w:lineRule="auto"/>
    </w:pPr>
    <w:rPr>
      <w:rFonts w:eastAsia="Times New Roman" w:cs="Times New Roman"/>
      <w:szCs w:val="20"/>
      <w:lang w:val="en-GB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B326B6"/>
    <w:pPr>
      <w:keepNext/>
      <w:ind w:firstLine="720"/>
      <w:outlineLvl w:val="0"/>
    </w:pPr>
    <w:rPr>
      <w:szCs w:val="22"/>
      <w:lang w:val="pt-BR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,Char"/>
    <w:basedOn w:val="prastasis"/>
    <w:link w:val="AntratsDiagrama"/>
    <w:uiPriority w:val="99"/>
    <w:rsid w:val="00733FA3"/>
    <w:pPr>
      <w:tabs>
        <w:tab w:val="center" w:pos="4153"/>
        <w:tab w:val="right" w:pos="8306"/>
      </w:tabs>
    </w:pPr>
    <w:rPr>
      <w:lang w:val="lt-LT"/>
    </w:rPr>
  </w:style>
  <w:style w:type="character" w:customStyle="1" w:styleId="AntratsDiagrama">
    <w:name w:val="Antraštės Diagrama"/>
    <w:aliases w:val=" Char Diagrama,Char Diagrama"/>
    <w:basedOn w:val="Numatytasispastraiposriftas"/>
    <w:link w:val="Antrats"/>
    <w:uiPriority w:val="99"/>
    <w:rsid w:val="00733FA3"/>
    <w:rPr>
      <w:rFonts w:eastAsia="Times New Roman" w:cs="Times New Roman"/>
      <w:szCs w:val="20"/>
      <w:lang w:val="lt-LT"/>
    </w:rPr>
  </w:style>
  <w:style w:type="paragraph" w:styleId="Antrat">
    <w:name w:val="caption"/>
    <w:basedOn w:val="prastasis"/>
    <w:next w:val="prastasis"/>
    <w:qFormat/>
    <w:rsid w:val="00733FA3"/>
    <w:pPr>
      <w:jc w:val="center"/>
    </w:pPr>
    <w:rPr>
      <w:b/>
      <w:sz w:val="28"/>
      <w:lang w:val="lt-LT"/>
    </w:rPr>
  </w:style>
  <w:style w:type="character" w:styleId="Puslapionumeris">
    <w:name w:val="page number"/>
    <w:basedOn w:val="Numatytasispastraiposriftas"/>
    <w:rsid w:val="00733FA3"/>
  </w:style>
  <w:style w:type="character" w:styleId="Hipersaitas">
    <w:name w:val="Hyperlink"/>
    <w:basedOn w:val="Numatytasispastraiposriftas"/>
    <w:rsid w:val="00733FA3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733FA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33FA3"/>
    <w:rPr>
      <w:rFonts w:eastAsia="Times New Roman" w:cs="Times New Roman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3FA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3FA3"/>
    <w:rPr>
      <w:rFonts w:ascii="Tahoma" w:eastAsia="Times New Roman" w:hAnsi="Tahoma" w:cs="Tahoma"/>
      <w:sz w:val="16"/>
      <w:szCs w:val="16"/>
      <w:lang w:val="en-GB"/>
    </w:rPr>
  </w:style>
  <w:style w:type="table" w:styleId="Lentelstinklelis">
    <w:name w:val="Table Grid"/>
    <w:basedOn w:val="prastojilentel"/>
    <w:uiPriority w:val="59"/>
    <w:rsid w:val="00733F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Numatytasispastraiposriftas"/>
    <w:uiPriority w:val="99"/>
    <w:locked/>
    <w:rsid w:val="00776D51"/>
    <w:rPr>
      <w:rFonts w:cs="Times New Roman"/>
      <w:sz w:val="24"/>
      <w:lang w:val="lt-LT" w:eastAsia="en-US" w:bidi="ar-SA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B326B6"/>
    <w:rPr>
      <w:rFonts w:eastAsia="Times New Roman" w:cs="Times New Roman"/>
      <w:lang w:val="pt-BR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9262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9262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92629"/>
    <w:rPr>
      <w:rFonts w:eastAsia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9262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92629"/>
    <w:rPr>
      <w:rFonts w:eastAsia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drasisd@vrm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3272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m05493</dc:creator>
  <cp:lastModifiedBy>Inga Prialgauskienė</cp:lastModifiedBy>
  <cp:revision>6</cp:revision>
  <cp:lastPrinted>2013-07-03T07:21:00Z</cp:lastPrinted>
  <dcterms:created xsi:type="dcterms:W3CDTF">2019-02-25T12:57:00Z</dcterms:created>
  <dcterms:modified xsi:type="dcterms:W3CDTF">2019-02-25T16:46:00Z</dcterms:modified>
</cp:coreProperties>
</file>